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00ff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ff"/>
          <w:sz w:val="20"/>
          <w:szCs w:val="20"/>
          <w:rtl w:val="0"/>
        </w:rPr>
        <w:t xml:space="preserve">EYFS Timetable Summer Term 1 2024</w:t>
      </w: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385"/>
        <w:gridCol w:w="2190"/>
        <w:gridCol w:w="2325"/>
        <w:gridCol w:w="2325"/>
        <w:gridCol w:w="2325"/>
        <w:tblGridChange w:id="0">
          <w:tblGrid>
            <w:gridCol w:w="2400"/>
            <w:gridCol w:w="2385"/>
            <w:gridCol w:w="2190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8:50 - 9:10am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Welcome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Wake Up/ Calming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Wake Up/ Calming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Wake Up/ Calming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Wake Up/ Calming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Wake Up/ Calming Activities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9:10 - 9:40am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Phonics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9:40 - 10:30am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 inc. Focuses &amp; Outdoor Learning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10:30 - 10:40am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Snack &amp; English Focus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10:40 - 11:55am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Morning Activities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11:30 - 11:55 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Maths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11:55am - 1pm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1 - 1:15pm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Mindfulness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1:15 - 2:30pm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1:15 - 1:30 pm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Art Circle Time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1:15 - 1:30 pm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RE Circle Time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1 - 1:30pm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Forest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1:15 - 1:30 pm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Activities inc. Focuses &amp; Outdoor Learning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2:40 - 2:50pm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Afternoon Snack with Story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2:50 - Home (3:15 pm)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Headteacher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Celebration Assembly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